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0C" w:rsidRPr="00361FC6" w:rsidRDefault="003F5E0C" w:rsidP="003F5E0C">
      <w:pPr>
        <w:pStyle w:val="Default"/>
        <w:jc w:val="center"/>
      </w:pPr>
      <w:r w:rsidRPr="00361FC6">
        <w:rPr>
          <w:b/>
          <w:bCs/>
        </w:rPr>
        <w:t>T.C.</w:t>
      </w:r>
    </w:p>
    <w:p w:rsidR="003F5E0C" w:rsidRPr="00361FC6" w:rsidRDefault="003F5E0C" w:rsidP="003F5E0C">
      <w:pPr>
        <w:pStyle w:val="Default"/>
        <w:jc w:val="center"/>
      </w:pPr>
      <w:r>
        <w:rPr>
          <w:b/>
          <w:bCs/>
        </w:rPr>
        <w:t>SARAY</w:t>
      </w:r>
      <w:r w:rsidRPr="00361FC6">
        <w:rPr>
          <w:b/>
          <w:bCs/>
        </w:rPr>
        <w:t xml:space="preserve"> KAYMAKAMLIĞI</w:t>
      </w:r>
    </w:p>
    <w:p w:rsidR="003F5E0C" w:rsidRPr="00361FC6" w:rsidRDefault="003F5E0C" w:rsidP="003F5E0C">
      <w:pPr>
        <w:pStyle w:val="Default"/>
        <w:jc w:val="center"/>
      </w:pPr>
      <w:r w:rsidRPr="00361FC6">
        <w:rPr>
          <w:b/>
          <w:bCs/>
        </w:rPr>
        <w:t>İlçe Milli Eğitim Müdürlüğü</w:t>
      </w:r>
    </w:p>
    <w:p w:rsidR="004A7125" w:rsidRPr="001C13DE" w:rsidRDefault="004A7125" w:rsidP="001C13DE">
      <w:pPr>
        <w:pStyle w:val="AralkYok"/>
        <w:jc w:val="center"/>
        <w:rPr>
          <w:rFonts w:ascii="Times New Roman" w:hAnsi="Times New Roman" w:cs="Times New Roman"/>
          <w:b/>
          <w:sz w:val="24"/>
          <w:lang w:eastAsia="tr-TR"/>
        </w:rPr>
      </w:pPr>
      <w:r w:rsidRPr="001C13DE">
        <w:rPr>
          <w:rFonts w:ascii="Times New Roman" w:hAnsi="Times New Roman" w:cs="Times New Roman"/>
          <w:b/>
          <w:sz w:val="24"/>
          <w:lang w:eastAsia="tr-TR"/>
        </w:rPr>
        <w:br/>
      </w:r>
      <w:r w:rsidR="003F5E0C">
        <w:rPr>
          <w:rFonts w:ascii="Times New Roman" w:hAnsi="Times New Roman" w:cs="Times New Roman"/>
          <w:b/>
          <w:sz w:val="24"/>
          <w:lang w:eastAsia="tr-TR"/>
        </w:rPr>
        <w:t>ATATÜRK ORTAOKULU</w:t>
      </w:r>
      <w:r w:rsidR="0036552B" w:rsidRPr="001C13DE">
        <w:rPr>
          <w:rFonts w:ascii="Times New Roman" w:hAnsi="Times New Roman" w:cs="Times New Roman"/>
          <w:b/>
          <w:sz w:val="24"/>
          <w:lang w:eastAsia="tr-TR"/>
        </w:rPr>
        <w:t xml:space="preserve"> BİNASI</w:t>
      </w:r>
      <w:r w:rsidR="001C13DE">
        <w:rPr>
          <w:rFonts w:ascii="Times New Roman" w:hAnsi="Times New Roman" w:cs="Times New Roman"/>
          <w:b/>
          <w:sz w:val="24"/>
          <w:lang w:eastAsia="tr-TR"/>
        </w:rPr>
        <w:t>NIN</w:t>
      </w:r>
      <w:r w:rsidR="003F5E0C">
        <w:rPr>
          <w:rFonts w:ascii="Times New Roman" w:hAnsi="Times New Roman" w:cs="Times New Roman"/>
          <w:b/>
          <w:sz w:val="24"/>
          <w:lang w:eastAsia="tr-TR"/>
        </w:rPr>
        <w:t xml:space="preserve"> </w:t>
      </w:r>
      <w:r w:rsidR="00DD4AC6" w:rsidRPr="001C13DE">
        <w:rPr>
          <w:rFonts w:ascii="Times New Roman" w:hAnsi="Times New Roman" w:cs="Times New Roman"/>
          <w:b/>
          <w:sz w:val="24"/>
          <w:lang w:eastAsia="tr-TR"/>
        </w:rPr>
        <w:t>YIKIM</w:t>
      </w:r>
      <w:r w:rsidRPr="001C13DE">
        <w:rPr>
          <w:rFonts w:ascii="Times New Roman" w:hAnsi="Times New Roman" w:cs="Times New Roman"/>
          <w:b/>
          <w:sz w:val="24"/>
          <w:lang w:eastAsia="tr-TR"/>
        </w:rPr>
        <w:t xml:space="preserve"> İŞİ GENEL VE TEKNİK ŞARTNAMESİ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 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1-İşin </w:t>
      </w:r>
      <w:proofErr w:type="gramStart"/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Sahibi:</w:t>
      </w:r>
      <w:r w:rsidR="009B56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Saray</w:t>
      </w:r>
      <w:proofErr w:type="gramEnd"/>
      <w:r w:rsidR="009B56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İlçe Milli Eğitim Müdürlüğü</w:t>
      </w:r>
    </w:p>
    <w:p w:rsidR="005B7B62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Adresi: </w:t>
      </w:r>
      <w:r w:rsidR="009B56D0"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Hükümet Konağı Kat:2 Saray İlçe Milli Eğitim Müdürlüğü Saray</w:t>
      </w:r>
      <w:r w:rsidR="005B7B62" w:rsidRPr="00A15B7A">
        <w:rPr>
          <w:rFonts w:ascii="Times New Roman" w:eastAsia="Times New Roman" w:hAnsi="Times New Roman" w:cs="Times New Roman"/>
          <w:sz w:val="24"/>
          <w:szCs w:val="24"/>
          <w:lang w:eastAsia="tr-TR"/>
        </w:rPr>
        <w:t>/TEKİRDAĞ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Telefon:</w:t>
      </w:r>
      <w:r w:rsidR="004D30C0">
        <w:rPr>
          <w:rFonts w:ascii="Times New Roman" w:eastAsia="Times New Roman" w:hAnsi="Times New Roman" w:cs="Times New Roman"/>
          <w:sz w:val="24"/>
          <w:szCs w:val="24"/>
          <w:lang w:eastAsia="tr-TR"/>
        </w:rPr>
        <w:t>(0282)</w:t>
      </w:r>
      <w:r w:rsidR="005B7B62" w:rsidRPr="00A15B7A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E46B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768 14 86 </w:t>
      </w: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Faks no:</w:t>
      </w:r>
      <w:r w:rsidR="004D30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(0282) </w:t>
      </w:r>
      <w:r w:rsidR="00E46BF6">
        <w:rPr>
          <w:rFonts w:ascii="Times New Roman" w:eastAsia="Times New Roman" w:hAnsi="Times New Roman" w:cs="Times New Roman"/>
          <w:sz w:val="24"/>
          <w:szCs w:val="24"/>
          <w:lang w:eastAsia="tr-TR"/>
        </w:rPr>
        <w:t>768 14 76</w:t>
      </w:r>
    </w:p>
    <w:p w:rsidR="001C13DE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2-İşin adı: </w:t>
      </w:r>
      <w:r w:rsidR="00E46BF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Saray İlçesi Atatürk Ortaokulu Binası yıkım işi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3-İşin Miktarı ve Türü: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 Bina yıkımı ve enkazın kaldırılması işi.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4-İşin Süresi: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</w:t>
      </w:r>
      <w:r w:rsidR="00E46BF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45 </w:t>
      </w:r>
      <w:r w:rsidR="00F45A4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</w:t>
      </w:r>
      <w:proofErr w:type="spellStart"/>
      <w:r w:rsidR="00E46BF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Kırkbeş</w:t>
      </w:r>
      <w:proofErr w:type="spellEnd"/>
      <w:r w:rsidR="00F45A4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  <w:bookmarkStart w:id="0" w:name="_GoBack"/>
      <w:bookmarkEnd w:id="0"/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gün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5-Fiyat Farkı: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</w:t>
      </w:r>
      <w:r w:rsidR="00E46BF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20</w:t>
      </w:r>
      <w:r w:rsidR="004D30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="008F3C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</w:t>
      </w:r>
      <w:r w:rsidR="004D30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00,00.-TL (</w:t>
      </w:r>
      <w:proofErr w:type="spellStart"/>
      <w:r w:rsidR="004D30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YirmibinTL</w:t>
      </w:r>
      <w:proofErr w:type="spellEnd"/>
      <w:r w:rsidR="004D30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</w:p>
    <w:p w:rsidR="004A7125" w:rsidRPr="004D30C0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D30C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6.Yüklenicinin Sorumlulukları: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6.1.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İşlemlerinden dolayı doğacak KDV, her türlü resim ve harçlar yükleniciye aittir.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6.2.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Çalışma Sahası; yıkımı yapılacak bina ve çevresini, enkaz taşıma </w:t>
      </w:r>
      <w:proofErr w:type="gramStart"/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güzergahını</w:t>
      </w:r>
      <w:proofErr w:type="gramEnd"/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 enkazın döküldüğü alanları kapsamaktadır.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6.3.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Çalışma sahasında işi ve işçi güvenliği yasasına göre her türlü işi ve işçi güvenliğini sağlamak ve gerekli t</w:t>
      </w:r>
      <w:r w:rsidR="005B7B62"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üm tedbirleri almak zorundadır.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6.4.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Yıkımı yapılacak binalara, İdarenin uygun göreceği  uyarı levhalarını görünür yerlere, yer teslimi tarihi itibari ile asmak zorundadır.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6.5.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Çalışan personelin sosyal güvenlik işlemlerini yapmak zorundadır.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6.6.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Çalışmalardan dolayı meydana gelen her türlü zarar ve ziyanı karşılamak zorundadır.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6.7.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Çalışmaların her aşamasında trafik güvenliğini sağlamak zorundadır.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6.8.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Çalışma sahasındaki giriş ve çıkışları kontrol altına almak, çalışan ve kontrol görevlilerinin dışındaki kişilerin çalışma sahasına girmelerini önlemek zorundadır.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6.9.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Yapılacak çalışmaların baştan sonuna kadar her türlü fotoğraf ve görüntüsünü kaydederek idareye teslim etmek zorundadır.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6.10.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Yıkımı yapılacak bina ve çevresinde risk altında olan binalarda elektrik, doğalgaz,</w:t>
      </w:r>
      <w:r w:rsidR="002A472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su, iletişim vb. bağlantıların bir gün öncesinden kesilmesi için ilgili birimlerle irtibata geçerek yıkım yapıldığı günlerde bu bağlantıların kesilmesini sağlamak zorundadır.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6.11.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 İşi zamanında bitirmek için gerekli ekip ve </w:t>
      </w:r>
      <w:proofErr w:type="gramStart"/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ekipmanı</w:t>
      </w:r>
      <w:proofErr w:type="gramEnd"/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yeteri kadar iş başında bulundurmak zorundadır.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6.12.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Yıkımda kullanılacak iş makinalarının bütün resmi evraklarının (muayene, sigorta vb.) eksiksiz olmasını sağlamak, iş makinalarının kullanımını ehliyetli kişiler tarafından yapılmasını sağlamak zorundadır.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6.13.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Yıkım ve enkaz kaldırma işlerinde kullanılacak iş makinası ve araçların tüm giderlerini karşılamak zorundadır.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6.14.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Şayet çalışmaları engelleyici unsurlar var ise idareye yazılı olarak bildirmek zorundadır.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6.15.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İdare tarafından zorunlu görülmesi halinde süre uzatımı verilmesi dışında, çalışma süresinin uzaması halinde günlük </w:t>
      </w:r>
      <w:r w:rsidR="00253DA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4</w:t>
      </w:r>
      <w:r w:rsidR="004415C6"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00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</w:t>
      </w:r>
      <w:proofErr w:type="spellStart"/>
      <w:r w:rsidR="00253DA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dört</w:t>
      </w:r>
      <w:r w:rsidR="004415C6"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yüz</w:t>
      </w:r>
      <w:proofErr w:type="spellEnd"/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 TL ceza ödemekle yükümlüdür.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6.16.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 Yıkım için gerekli olacak her türlü </w:t>
      </w:r>
      <w:proofErr w:type="gramStart"/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ekipman</w:t>
      </w:r>
      <w:proofErr w:type="gramEnd"/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malzeme temini yükleniciye aittir. Enkaz döküm yeri, </w:t>
      </w:r>
      <w:r w:rsidR="009229F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Tekirdağ Büyükşehir</w:t>
      </w:r>
      <w:r w:rsidR="0048453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230D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Belediyesi ve </w:t>
      </w:r>
      <w:r w:rsidR="00E46BF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Saray</w:t>
      </w:r>
      <w:r w:rsidR="000230D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Belediyesinin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belirtmiş olduğu yerdir.</w:t>
      </w:r>
      <w:r w:rsidR="0058686D"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Her türlü </w:t>
      </w:r>
      <w:r w:rsidR="00AC6055"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nakliye masrafı yükleniciye aittir.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6.17.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Yıkımı yapılan bina ve çevresinden çıkan tüm malzeme yükleniciye aittir.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6.18.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Enkazın taşınması sırasında yüklenici firma gerekli olan tüm güvenlik önlemlerini  almak veya aldırmak zorundadır.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6.19.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 Enkazı kaldırmak için kullanılan </w:t>
      </w:r>
      <w:proofErr w:type="gramStart"/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güzergah</w:t>
      </w:r>
      <w:proofErr w:type="gramEnd"/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ile yıkım yapılan yerin temizliğini Belediyenin istediği şekilde yapmak zorundadır.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6.20.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Yıkımdan çıkan her türlü hurda demiri, alüminyum, plastik, bakır, çelik, kereste vb. yükleniciye aittir.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6.21.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Çevre ve görsel kirliliğin önlenmesi için gerekli tedbirleri almak, yıkım esnasında toz kirliliğinin önlenmesi için sulama vb. işlemleri yapmak ve gerekli tedbirleri almak zorundadır.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6.22.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Binanın tamamını (temel </w:t>
      </w:r>
      <w:proofErr w:type="gramStart"/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dahil</w:t>
      </w:r>
      <w:proofErr w:type="gramEnd"/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 yıkıp, zemini düzeltip, enkazın Belediyece dökülmesi istenen alanda gerekli düzenlemeleri yapmak zorundadır.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6.23.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Hergün çalışma saatlerini belediyenin belirleyeceği ve İl Trafik Komisyonunca belirlenen süreler içerisinde çalışmak zorundadır.</w:t>
      </w:r>
    </w:p>
    <w:p w:rsidR="004A7125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6.24.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 Anılan iş için teklif edilen </w:t>
      </w:r>
      <w:r w:rsidR="00E84991"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İdarece kabul edilen tutarı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sözleşme öncesi </w:t>
      </w:r>
      <w:r w:rsidR="00E84991"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İdarece belirlenen Hazine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hesabına yatırmak zorundadır.</w:t>
      </w:r>
    </w:p>
    <w:p w:rsidR="004D30C0" w:rsidRDefault="004D30C0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D30C0" w:rsidRPr="00A15B7A" w:rsidRDefault="004D30C0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7125" w:rsidRPr="004D30C0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D30C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7</w:t>
      </w:r>
      <w:r w:rsidR="004D30C0" w:rsidRPr="004D30C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.SÜRE UZATIMI VERİLECEK HALLER: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7.1.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Doğal afetler ve seferberlik halleri,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7.2.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 kurum, kuruluş ve şahıslara ait yeraltı ve yerüstü tesis</w:t>
      </w:r>
      <w:r w:rsidR="00E84991"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lerin (su, elektrik, doğalgaz,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kanalizasyon, iletişim vb. )kaldırılmasının zaman alması,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7.3.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Yüklenicinin başvurusu sonucu idarenin uygun göreceği durumlar.</w:t>
      </w:r>
    </w:p>
    <w:p w:rsidR="004A7125" w:rsidRPr="004D30C0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8.</w:t>
      </w:r>
      <w:r w:rsidRPr="004D30C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İdarenin sorumlulukları: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8.1.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Yüklenicinin yazılı müracaatı sonucu gerektiğinde süre uzatımı vermek,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8.2.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Yükleniciye, ihale tebligatı yapılıp, sözleşme imzalandıktan sonra 5 iş günü içinde iş yerini teslim edip işe başlatmak.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</w:t>
      </w:r>
      <w:r w:rsidR="004D30C0" w:rsidRPr="004D30C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İŞE BAŞLAMA VE İŞ YERİ TESLİMİ: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9.1.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İhale kararının onaylanıp, sözleşmenin imzalanmasından sonra 5 iş günü içerisinde iş yeri teslimi yapılacaktır. Ancak Bu süre, gerekçesi belirtilmek üzere idarenin belirleyeceği ileri bir tarih de olabilecektir.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10.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Anlaşmazlık halinde </w:t>
      </w:r>
      <w:r w:rsidR="004D30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Tekirdağ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E46BF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Saray 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Mahkemeleri</w:t>
      </w:r>
      <w:r w:rsidR="00912A13"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</w:t>
      </w:r>
      <w:r w:rsidR="004D30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Tekirdağ</w:t>
      </w:r>
      <w:r w:rsidR="00E46BF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Saray </w:t>
      </w:r>
      <w:r w:rsidR="00912A13"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İcra Daireleri</w:t>
      </w:r>
      <w:r w:rsidRPr="00A15B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yetkilidir.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ÖZEL HÜKÜMLER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1.Yıkım, yükleme, nakliye, boşaltma, çevre temizliği, düzenleme çalışmaları esnasında kamu ve özel şahıslara ait her türlü mülklere, araçlara, muhtelif altyapılara, yollara ve şahıslara gelebilecek  zararların, davaların, cezaların sorumlusu ve muhatabı YÜKLENİCİ olacaktır.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2.Kamu kurumları tarafından kesilen tüm Cezaların her ne sebeple olursa olsun sorumlusu ve muhatabı YÜKLENİCİ olacaktır.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3.İhaleye katılacak istekliler binayı ve çevresini görerek teklif vereceklerdir. Teklif veren istekliler binayı yerinde gördüklerini kabul etmiş sayılacaklardır.</w:t>
      </w:r>
    </w:p>
    <w:p w:rsidR="0058686D" w:rsidRPr="00A15B7A" w:rsidRDefault="00AC605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  <w:r w:rsidR="0058686D"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.Taşınmaz üzerinde bulunan binanın yıkım masrafıyla binadan çıkacak </w:t>
      </w:r>
      <w:proofErr w:type="spellStart"/>
      <w:r w:rsidR="0071461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muhdesat</w:t>
      </w:r>
      <w:proofErr w:type="spellEnd"/>
      <w:r w:rsidR="0071461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karşılığı yıkılması </w:t>
      </w:r>
      <w:r w:rsidR="0058686D"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suretiyle, </w:t>
      </w:r>
      <w:r w:rsidR="00E46BF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</w:t>
      </w:r>
      <w:r w:rsidR="004D30C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 w:rsidR="008F3C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="004D30C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00,</w:t>
      </w:r>
      <w:r w:rsidR="0071461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00</w:t>
      </w:r>
      <w:r w:rsidR="001C13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.-</w:t>
      </w:r>
      <w:r w:rsidR="0071461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TL.(</w:t>
      </w:r>
      <w:proofErr w:type="spellStart"/>
      <w:r w:rsidR="004D30C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Yirmibin</w:t>
      </w:r>
      <w:r w:rsidR="0071461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TL</w:t>
      </w:r>
      <w:proofErr w:type="spellEnd"/>
      <w:r w:rsidR="0071461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.) bedel üzerinden </w:t>
      </w:r>
      <w:r w:rsidR="0058686D"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ihale yapılacak olup, </w:t>
      </w:r>
      <w:r w:rsidR="008F3C87" w:rsidRPr="008F3C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iki veya daha fazla istekli tarafından malzeme karşılığı yıkım yapılabileceği taahhüt edildiği takdirde komisyon huzurunda açık arttırmaya geçilecek, İdare’ye en fazla meblağı teklif edene ihale bırakılacak</w:t>
      </w:r>
      <w:r w:rsidR="008F3C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tır</w:t>
      </w:r>
      <w:r w:rsidR="0058686D"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58686D" w:rsidRPr="00A15B7A" w:rsidRDefault="0058686D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5. </w:t>
      </w:r>
      <w:r w:rsidR="00AC6055" w:rsidRPr="00A15B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Sözleşme imzalanmasına müteakip </w:t>
      </w:r>
      <w:r w:rsidR="007146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 w:rsidR="00AC6055" w:rsidRPr="00A15B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</w:t>
      </w:r>
      <w:r w:rsidR="007146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beş</w:t>
      </w:r>
      <w:r w:rsidR="00AC6055" w:rsidRPr="00A15B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 iş günü içerisinde yıkım ruhsatı alınıp yıkıma başlanacak olup, iş başlama tarihinden</w:t>
      </w:r>
      <w:r w:rsidRPr="00A15B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itibaren en geç </w:t>
      </w:r>
      <w:r w:rsidR="0048453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45</w:t>
      </w:r>
      <w:r w:rsidRPr="00A15B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gün içinde tamamen yıkılacak ve enkaz temizleme işlemi yapılarak söz konusu zeminlerin temiz ve düzenlenmiş olarak kurumumuza teslim olacaktır</w:t>
      </w:r>
      <w:r w:rsidRPr="00A15B7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A7125" w:rsidRPr="00A15B7A" w:rsidRDefault="00AC605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6</w:t>
      </w:r>
      <w:r w:rsidR="004A7125"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 İhaleye katılan istekliler ihale dokümanı ve şartnamelerde belirtilen bütün hususları kabul etmiş sayılırlar.</w:t>
      </w:r>
    </w:p>
    <w:p w:rsidR="004A7125" w:rsidRPr="00A15B7A" w:rsidRDefault="00AC605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="004A7125"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.Yıkımı yapılacak binanın yıkım tarihi idare tarafından belirlenecektir.</w:t>
      </w:r>
    </w:p>
    <w:p w:rsidR="004A7125" w:rsidRPr="00A15B7A" w:rsidRDefault="00AC605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="004A7125"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.Elektrik tesisatı direklerden itibaren kesilecek olup gerekli önlem ve tedbirleri YÜKLENİCİ almak zorundadır.</w:t>
      </w:r>
    </w:p>
    <w:p w:rsidR="004A7125" w:rsidRPr="00A15B7A" w:rsidRDefault="004A712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8.Yıkım için herhangi bir patlayıcı madde kullanılmayacak olup yıkım iş makinaları ile yapılacaktır.</w:t>
      </w:r>
    </w:p>
    <w:p w:rsidR="00AC6055" w:rsidRDefault="00AC6055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9. Yıkım işlemi sırasında meydana gelecek can ve mal güvenliği ile çevreye ve çalışanlara zarar gelmeyecek şekilde tüm tedbirlerin alınması, maddi ve manevi her türlü zararın karşılanması yüklenici bünyesinde çözülecektir. Yıkım </w:t>
      </w:r>
      <w:r w:rsidR="00C10E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esnasında </w:t>
      </w:r>
      <w:r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her hangi bir maddi ve hukuki sorumluluk firmaya ait olacaktır.</w:t>
      </w:r>
    </w:p>
    <w:p w:rsidR="003D36D8" w:rsidRPr="00A15B7A" w:rsidRDefault="003D36D8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10. Yıkım işlemi sırasında çıkacak atıkları taşıyacak araçlar için Tekirdağ Büyükşehir Belediyesinden “Taşıma İzin Belgesi”,  taşınacak atıklar için de </w:t>
      </w:r>
      <w:r w:rsidR="00E46BF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Saray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Belediyesinden “Taşıma ve Kabul Belgesi” alınması YÜKLENİCİ firma tarafından alınmak zorundadır. </w:t>
      </w:r>
    </w:p>
    <w:p w:rsidR="00AC6055" w:rsidRPr="00A15B7A" w:rsidRDefault="003D36D8" w:rsidP="004A712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11</w:t>
      </w:r>
      <w:r w:rsidR="00AC6055"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İş bu teknik şartname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AC6055" w:rsidRPr="00A15B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maddeden ibarettir.</w:t>
      </w:r>
    </w:p>
    <w:p w:rsidR="0052521B" w:rsidRPr="00A15B7A" w:rsidRDefault="0052521B">
      <w:pPr>
        <w:rPr>
          <w:rFonts w:ascii="Times New Roman" w:hAnsi="Times New Roman" w:cs="Times New Roman"/>
          <w:sz w:val="24"/>
          <w:szCs w:val="24"/>
        </w:rPr>
      </w:pPr>
    </w:p>
    <w:p w:rsidR="00253F83" w:rsidRPr="00A15B7A" w:rsidRDefault="00253F83" w:rsidP="00253F83">
      <w:pPr>
        <w:tabs>
          <w:tab w:val="left" w:pos="300"/>
        </w:tabs>
        <w:ind w:left="300"/>
        <w:rPr>
          <w:rFonts w:ascii="Times New Roman" w:hAnsi="Times New Roman" w:cs="Times New Roman"/>
          <w:b/>
          <w:i/>
          <w:sz w:val="24"/>
          <w:szCs w:val="24"/>
        </w:rPr>
      </w:pPr>
      <w:r w:rsidRPr="00A15B7A">
        <w:rPr>
          <w:rFonts w:ascii="Times New Roman" w:hAnsi="Times New Roman" w:cs="Times New Roman"/>
          <w:sz w:val="24"/>
          <w:szCs w:val="24"/>
        </w:rPr>
        <w:t>“</w:t>
      </w:r>
      <w:r w:rsidRPr="00A15B7A">
        <w:rPr>
          <w:rFonts w:ascii="Times New Roman" w:hAnsi="Times New Roman" w:cs="Times New Roman"/>
          <w:b/>
          <w:i/>
          <w:sz w:val="24"/>
          <w:szCs w:val="24"/>
        </w:rPr>
        <w:t>Bu şartnamedeki yazılı hususları olduğu gibi kabul ve taahhüt ederim. Her türlü tebligat aşağıdaki adresime yapılabilir”</w:t>
      </w:r>
    </w:p>
    <w:p w:rsidR="00253F83" w:rsidRPr="00A15B7A" w:rsidRDefault="00253F83" w:rsidP="00253F83">
      <w:pPr>
        <w:tabs>
          <w:tab w:val="left" w:pos="300"/>
        </w:tabs>
        <w:ind w:left="3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B7A">
        <w:rPr>
          <w:rFonts w:ascii="Times New Roman" w:hAnsi="Times New Roman" w:cs="Times New Roman"/>
          <w:b/>
          <w:sz w:val="24"/>
          <w:szCs w:val="24"/>
          <w:u w:val="single"/>
        </w:rPr>
        <w:t xml:space="preserve">MÜŞTERİNİN: </w:t>
      </w:r>
    </w:p>
    <w:tbl>
      <w:tblPr>
        <w:tblStyle w:val="TabloKlavuzu"/>
        <w:tblW w:w="0" w:type="auto"/>
        <w:tblInd w:w="300" w:type="dxa"/>
        <w:tblLook w:val="04A0"/>
      </w:tblPr>
      <w:tblGrid>
        <w:gridCol w:w="4511"/>
        <w:gridCol w:w="4477"/>
      </w:tblGrid>
      <w:tr w:rsidR="00A15B7A" w:rsidRPr="00A15B7A" w:rsidTr="005F2682">
        <w:tc>
          <w:tcPr>
            <w:tcW w:w="4606" w:type="dxa"/>
          </w:tcPr>
          <w:p w:rsidR="00253F83" w:rsidRPr="00A15B7A" w:rsidRDefault="00253F83" w:rsidP="005F2682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B7A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4606" w:type="dxa"/>
          </w:tcPr>
          <w:p w:rsidR="00253F83" w:rsidRPr="00A15B7A" w:rsidRDefault="00253F83" w:rsidP="005F2682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7A" w:rsidRPr="00A15B7A" w:rsidTr="005F2682">
        <w:tc>
          <w:tcPr>
            <w:tcW w:w="4606" w:type="dxa"/>
          </w:tcPr>
          <w:p w:rsidR="00253F83" w:rsidRPr="00A15B7A" w:rsidRDefault="00253F83" w:rsidP="005F2682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B7A">
              <w:rPr>
                <w:rFonts w:ascii="Times New Roman" w:hAnsi="Times New Roman" w:cs="Times New Roman"/>
                <w:sz w:val="24"/>
                <w:szCs w:val="24"/>
              </w:rPr>
              <w:t>Adı ve Soyadı (Tüzel Kişilerde Unvan ve yetkililerin)</w:t>
            </w:r>
          </w:p>
        </w:tc>
        <w:tc>
          <w:tcPr>
            <w:tcW w:w="4606" w:type="dxa"/>
          </w:tcPr>
          <w:p w:rsidR="00253F83" w:rsidRPr="00A15B7A" w:rsidRDefault="00253F83" w:rsidP="005F2682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7A" w:rsidRPr="00A15B7A" w:rsidTr="005F2682">
        <w:tc>
          <w:tcPr>
            <w:tcW w:w="4606" w:type="dxa"/>
          </w:tcPr>
          <w:p w:rsidR="00253F83" w:rsidRPr="00A15B7A" w:rsidRDefault="00253F83" w:rsidP="005F2682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B7A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4606" w:type="dxa"/>
          </w:tcPr>
          <w:p w:rsidR="00253F83" w:rsidRPr="00A15B7A" w:rsidRDefault="00253F83" w:rsidP="005F2682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7A" w:rsidRPr="00A15B7A" w:rsidTr="005F2682">
        <w:tc>
          <w:tcPr>
            <w:tcW w:w="4606" w:type="dxa"/>
          </w:tcPr>
          <w:p w:rsidR="00253F83" w:rsidRPr="00A15B7A" w:rsidRDefault="00253F83" w:rsidP="005F2682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B7A">
              <w:rPr>
                <w:rFonts w:ascii="Times New Roman" w:hAnsi="Times New Roman" w:cs="Times New Roman"/>
                <w:sz w:val="24"/>
                <w:szCs w:val="24"/>
              </w:rPr>
              <w:t>Tebligat Adresi</w:t>
            </w:r>
          </w:p>
        </w:tc>
        <w:tc>
          <w:tcPr>
            <w:tcW w:w="4606" w:type="dxa"/>
          </w:tcPr>
          <w:p w:rsidR="00253F83" w:rsidRPr="00A15B7A" w:rsidRDefault="00253F83" w:rsidP="005F2682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7A" w:rsidRPr="00A15B7A" w:rsidTr="005F2682">
        <w:tc>
          <w:tcPr>
            <w:tcW w:w="4606" w:type="dxa"/>
          </w:tcPr>
          <w:p w:rsidR="00253F83" w:rsidRPr="00A15B7A" w:rsidRDefault="00253F83" w:rsidP="005F2682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B7A"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4606" w:type="dxa"/>
          </w:tcPr>
          <w:p w:rsidR="00253F83" w:rsidRPr="00A15B7A" w:rsidRDefault="00253F83" w:rsidP="005F2682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7A" w:rsidRPr="00A15B7A" w:rsidTr="005F2682">
        <w:tc>
          <w:tcPr>
            <w:tcW w:w="4606" w:type="dxa"/>
          </w:tcPr>
          <w:p w:rsidR="00253F83" w:rsidRPr="00A15B7A" w:rsidRDefault="00253F83" w:rsidP="005F2682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B7A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4606" w:type="dxa"/>
          </w:tcPr>
          <w:p w:rsidR="00253F83" w:rsidRPr="00A15B7A" w:rsidRDefault="00253F83" w:rsidP="005F2682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F83" w:rsidRPr="00A15B7A" w:rsidRDefault="00253F83" w:rsidP="00253F83">
      <w:pPr>
        <w:tabs>
          <w:tab w:val="left" w:pos="300"/>
        </w:tabs>
        <w:ind w:left="300"/>
        <w:rPr>
          <w:rFonts w:ascii="Times New Roman" w:hAnsi="Times New Roman" w:cs="Times New Roman"/>
          <w:sz w:val="24"/>
          <w:szCs w:val="24"/>
        </w:rPr>
      </w:pPr>
    </w:p>
    <w:p w:rsidR="005B7B62" w:rsidRPr="00A15B7A" w:rsidRDefault="005B7B62">
      <w:pPr>
        <w:rPr>
          <w:rFonts w:ascii="Times New Roman" w:hAnsi="Times New Roman" w:cs="Times New Roman"/>
          <w:sz w:val="24"/>
          <w:szCs w:val="24"/>
        </w:rPr>
      </w:pPr>
    </w:p>
    <w:sectPr w:rsidR="005B7B62" w:rsidRPr="00A15B7A" w:rsidSect="0058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1BA"/>
    <w:rsid w:val="000230DF"/>
    <w:rsid w:val="00092983"/>
    <w:rsid w:val="001A7CC5"/>
    <w:rsid w:val="001C13DE"/>
    <w:rsid w:val="00253DA0"/>
    <w:rsid w:val="00253F83"/>
    <w:rsid w:val="002A4724"/>
    <w:rsid w:val="0036552B"/>
    <w:rsid w:val="00380A9B"/>
    <w:rsid w:val="003D0FEB"/>
    <w:rsid w:val="003D36D8"/>
    <w:rsid w:val="003E71BA"/>
    <w:rsid w:val="003F5E0C"/>
    <w:rsid w:val="0043749A"/>
    <w:rsid w:val="004415C6"/>
    <w:rsid w:val="0048453A"/>
    <w:rsid w:val="004A7125"/>
    <w:rsid w:val="004D30C0"/>
    <w:rsid w:val="0052521B"/>
    <w:rsid w:val="0058686D"/>
    <w:rsid w:val="00587B65"/>
    <w:rsid w:val="005B7B62"/>
    <w:rsid w:val="0071461E"/>
    <w:rsid w:val="008A7A2D"/>
    <w:rsid w:val="008F3C87"/>
    <w:rsid w:val="00912A13"/>
    <w:rsid w:val="009229FC"/>
    <w:rsid w:val="009B56D0"/>
    <w:rsid w:val="00A137F8"/>
    <w:rsid w:val="00A15B7A"/>
    <w:rsid w:val="00A550F7"/>
    <w:rsid w:val="00AC6055"/>
    <w:rsid w:val="00C10E15"/>
    <w:rsid w:val="00D46872"/>
    <w:rsid w:val="00DD4AC6"/>
    <w:rsid w:val="00E46BF6"/>
    <w:rsid w:val="00E84991"/>
    <w:rsid w:val="00ED1124"/>
    <w:rsid w:val="00F45A42"/>
    <w:rsid w:val="00FE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B7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C13DE"/>
    <w:pPr>
      <w:spacing w:after="0" w:line="240" w:lineRule="auto"/>
    </w:pPr>
  </w:style>
  <w:style w:type="paragraph" w:customStyle="1" w:styleId="Default">
    <w:name w:val="Default"/>
    <w:rsid w:val="003F5E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3ABA2-3AEB-473A-97F8-E16100F0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KILINÇ</dc:creator>
  <cp:lastModifiedBy>w10</cp:lastModifiedBy>
  <cp:revision>7</cp:revision>
  <cp:lastPrinted>2019-07-25T07:35:00Z</cp:lastPrinted>
  <dcterms:created xsi:type="dcterms:W3CDTF">2020-07-07T12:07:00Z</dcterms:created>
  <dcterms:modified xsi:type="dcterms:W3CDTF">2020-07-25T07:17:00Z</dcterms:modified>
</cp:coreProperties>
</file>